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80"/>
        <w:ind w:left="110" w:right="0" w:firstLine="0"/>
        <w:jc w:val="left"/>
        <w:rPr>
          <w:rFonts w:ascii="Arial Narrow"/>
          <w:sz w:val="40"/>
        </w:rPr>
      </w:pPr>
      <w:r>
        <w:rPr>
          <w:rFonts w:ascii="Arial Narrow"/>
          <w:w w:val="110"/>
          <w:sz w:val="40"/>
        </w:rPr>
        <w:t>Texas Data Repository Information Sheet</w:t>
      </w:r>
    </w:p>
    <w:p>
      <w:pPr>
        <w:pStyle w:val="BodyText"/>
        <w:spacing w:before="220"/>
        <w:ind w:left="110" w:firstLine="0"/>
        <w:rPr>
          <w:rFonts w:ascii="Arial Narrow"/>
        </w:rPr>
      </w:pPr>
      <w:r>
        <w:rPr>
          <w:rFonts w:ascii="Arial Narrow"/>
          <w:w w:val="110"/>
        </w:rPr>
        <w:t>For Librarians</w:t>
      </w:r>
    </w:p>
    <w:p>
      <w:pPr>
        <w:pStyle w:val="BodyText"/>
        <w:spacing w:before="11"/>
        <w:ind w:left="0" w:firstLine="0"/>
        <w:rPr>
          <w:rFonts w:ascii="Arial Narrow"/>
          <w:sz w:val="29"/>
        </w:rPr>
      </w:pPr>
    </w:p>
    <w:p>
      <w:pPr>
        <w:pStyle w:val="BodyText"/>
        <w:ind w:left="110" w:right="222" w:firstLine="0"/>
        <w:jc w:val="both"/>
      </w:pPr>
      <w:r>
        <w:rPr/>
        <w:t>The </w:t>
      </w:r>
      <w:r>
        <w:rPr>
          <w:b/>
        </w:rPr>
        <w:t>Texas Data Repository </w:t>
      </w:r>
      <w:r>
        <w:rPr/>
        <w:t>is a platform for publishing and archiving datasets (and other data products) created by faculty, staff, and students at Texas higher education institutions. The repository is built in an open-source application called </w:t>
      </w:r>
      <w:hyperlink r:id="rId5">
        <w:r>
          <w:rPr>
            <w:color w:val="1154CC"/>
            <w:u w:val="single" w:color="1154CC"/>
          </w:rPr>
          <w:t>Dataverse</w:t>
        </w:r>
      </w:hyperlink>
      <w:r>
        <w:rPr/>
        <w:t>, developed and also used by Harvard University.</w:t>
      </w:r>
    </w:p>
    <w:p>
      <w:pPr>
        <w:pStyle w:val="BodyText"/>
        <w:spacing w:before="5"/>
        <w:ind w:left="0" w:firstLine="0"/>
        <w:rPr>
          <w:sz w:val="27"/>
        </w:rPr>
      </w:pPr>
    </w:p>
    <w:p>
      <w:pPr>
        <w:pStyle w:val="BodyText"/>
        <w:spacing w:line="268" w:lineRule="auto"/>
        <w:ind w:left="110" w:firstLine="0"/>
      </w:pPr>
      <w:r>
        <w:rPr/>
        <w:t>The repository is hosted by the Texas Digital Library, a consortium of academic libraries in Texas with a proven history of providing shared technology services that support secure, reliable access to digital collections of research and scholarship (</w:t>
      </w:r>
      <w:hyperlink r:id="rId6">
        <w:r>
          <w:rPr>
            <w:color w:val="1154CC"/>
            <w:u w:val="single" w:color="1154CC"/>
          </w:rPr>
          <w:t>http://www.tdl.org/</w:t>
        </w:r>
      </w:hyperlink>
      <w:r>
        <w:rPr/>
        <w:t>).</w:t>
      </w:r>
    </w:p>
    <w:p>
      <w:pPr>
        <w:pStyle w:val="BodyText"/>
        <w:spacing w:before="8"/>
        <w:ind w:left="0" w:firstLine="0"/>
        <w:rPr>
          <w:sz w:val="24"/>
        </w:rPr>
      </w:pPr>
    </w:p>
    <w:p>
      <w:pPr>
        <w:pStyle w:val="BodyText"/>
        <w:ind w:left="110" w:firstLine="0"/>
        <w:rPr>
          <w:rFonts w:ascii="Arial Narrow"/>
        </w:rPr>
      </w:pPr>
      <w:r>
        <w:rPr>
          <w:rFonts w:ascii="Arial Narrow"/>
          <w:w w:val="115"/>
        </w:rPr>
        <w:t>Benefits for Researchers</w:t>
      </w:r>
    </w:p>
    <w:p>
      <w:pPr>
        <w:pStyle w:val="BodyText"/>
        <w:ind w:left="0" w:firstLine="0"/>
        <w:rPr>
          <w:rFonts w:ascii="Arial Narrow"/>
          <w:sz w:val="30"/>
        </w:rPr>
      </w:pPr>
    </w:p>
    <w:p>
      <w:pPr>
        <w:pStyle w:val="ListParagraph"/>
        <w:numPr>
          <w:ilvl w:val="0"/>
          <w:numId w:val="1"/>
        </w:numPr>
        <w:tabs>
          <w:tab w:pos="830" w:val="left" w:leader="none"/>
        </w:tabs>
        <w:spacing w:line="240" w:lineRule="auto" w:before="0" w:after="0"/>
        <w:ind w:left="830" w:right="412" w:hanging="360"/>
        <w:jc w:val="both"/>
        <w:rPr>
          <w:sz w:val="22"/>
        </w:rPr>
      </w:pPr>
      <w:r>
        <w:rPr>
          <w:b/>
          <w:sz w:val="22"/>
        </w:rPr>
        <w:t>Compliance with funding requirements. </w:t>
      </w:r>
      <w:r>
        <w:rPr>
          <w:sz w:val="22"/>
        </w:rPr>
        <w:t>The Texas Data Repository helps researchers comply with funder mandates (including federal agency mandates) for data archiving and sharing, and provides resources for developing data management plans and grant</w:t>
      </w:r>
      <w:r>
        <w:rPr>
          <w:spacing w:val="3"/>
          <w:sz w:val="22"/>
        </w:rPr>
        <w:t> </w:t>
      </w:r>
      <w:r>
        <w:rPr>
          <w:sz w:val="22"/>
        </w:rPr>
        <w:t>applications.</w:t>
      </w:r>
    </w:p>
    <w:p>
      <w:pPr>
        <w:pStyle w:val="ListParagraph"/>
        <w:numPr>
          <w:ilvl w:val="0"/>
          <w:numId w:val="1"/>
        </w:numPr>
        <w:tabs>
          <w:tab w:pos="829" w:val="left" w:leader="none"/>
          <w:tab w:pos="830" w:val="left" w:leader="none"/>
        </w:tabs>
        <w:spacing w:line="240" w:lineRule="auto" w:before="4" w:after="0"/>
        <w:ind w:left="830" w:right="134" w:hanging="360"/>
        <w:jc w:val="left"/>
        <w:rPr>
          <w:sz w:val="22"/>
        </w:rPr>
      </w:pPr>
      <w:r>
        <w:rPr>
          <w:b/>
          <w:sz w:val="22"/>
        </w:rPr>
        <w:t>Reliable, managed access for data. </w:t>
      </w:r>
      <w:r>
        <w:rPr>
          <w:sz w:val="22"/>
        </w:rPr>
        <w:t>The Texas Data Repository provides a convenient and reliable place to collect and share data. And by depositing data there, researchers benefit from the TDL’s focus on long-term access and preservation of your</w:t>
      </w:r>
      <w:r>
        <w:rPr>
          <w:spacing w:val="20"/>
          <w:sz w:val="22"/>
        </w:rPr>
        <w:t> </w:t>
      </w:r>
      <w:r>
        <w:rPr>
          <w:sz w:val="22"/>
        </w:rPr>
        <w:t>content.</w:t>
      </w:r>
    </w:p>
    <w:p>
      <w:pPr>
        <w:pStyle w:val="ListParagraph"/>
        <w:numPr>
          <w:ilvl w:val="0"/>
          <w:numId w:val="2"/>
        </w:numPr>
        <w:tabs>
          <w:tab w:pos="829" w:val="left" w:leader="none"/>
          <w:tab w:pos="830" w:val="left" w:leader="none"/>
        </w:tabs>
        <w:spacing w:line="240" w:lineRule="auto" w:before="4" w:after="0"/>
        <w:ind w:left="830" w:right="253" w:hanging="360"/>
        <w:jc w:val="left"/>
        <w:rPr>
          <w:sz w:val="22"/>
        </w:rPr>
      </w:pPr>
      <w:r>
        <w:rPr>
          <w:b/>
          <w:sz w:val="22"/>
        </w:rPr>
        <w:t>Increase their scholarly impact. </w:t>
      </w:r>
      <w:r>
        <w:rPr>
          <w:sz w:val="22"/>
        </w:rPr>
        <w:t>By publishing their data in the the Texas Data Repository, they give that data a DOI, making it easy for others to cite reliably. Content is indexed in search engines, making it more likely to be found; and the repository tracks and displays downloads, so that researchers can see a measure of the impact of their</w:t>
      </w:r>
      <w:r>
        <w:rPr>
          <w:spacing w:val="28"/>
          <w:sz w:val="22"/>
        </w:rPr>
        <w:t> </w:t>
      </w:r>
      <w:r>
        <w:rPr>
          <w:sz w:val="22"/>
        </w:rPr>
        <w:t>work.</w:t>
      </w:r>
    </w:p>
    <w:p>
      <w:pPr>
        <w:pStyle w:val="ListParagraph"/>
        <w:numPr>
          <w:ilvl w:val="0"/>
          <w:numId w:val="3"/>
        </w:numPr>
        <w:tabs>
          <w:tab w:pos="829" w:val="left" w:leader="none"/>
          <w:tab w:pos="830" w:val="left" w:leader="none"/>
        </w:tabs>
        <w:spacing w:line="240" w:lineRule="auto" w:before="6" w:after="0"/>
        <w:ind w:left="830" w:right="333" w:hanging="360"/>
        <w:jc w:val="left"/>
        <w:rPr>
          <w:sz w:val="22"/>
        </w:rPr>
      </w:pPr>
      <w:r>
        <w:rPr>
          <w:b/>
          <w:sz w:val="22"/>
        </w:rPr>
        <w:t>Collaboration with research teams. </w:t>
      </w:r>
      <w:r>
        <w:rPr>
          <w:sz w:val="22"/>
        </w:rPr>
        <w:t>Some situations may necessitate restricting access to data, at least for a period of time. The Texas Data Repository allows researchers to share data with a select group of colleagues, version data, and publish it when ready. Researchers or repository managers can also de-accession data in rare cases when it is</w:t>
      </w:r>
      <w:r>
        <w:rPr>
          <w:spacing w:val="36"/>
          <w:sz w:val="22"/>
        </w:rPr>
        <w:t> </w:t>
      </w:r>
      <w:r>
        <w:rPr>
          <w:sz w:val="22"/>
        </w:rPr>
        <w:t>necessary.</w:t>
      </w:r>
    </w:p>
    <w:p>
      <w:pPr>
        <w:pStyle w:val="ListParagraph"/>
        <w:numPr>
          <w:ilvl w:val="0"/>
          <w:numId w:val="4"/>
        </w:numPr>
        <w:tabs>
          <w:tab w:pos="829" w:val="left" w:leader="none"/>
          <w:tab w:pos="830" w:val="left" w:leader="none"/>
        </w:tabs>
        <w:spacing w:line="240" w:lineRule="auto" w:before="6" w:after="0"/>
        <w:ind w:left="830" w:right="173" w:hanging="360"/>
        <w:jc w:val="left"/>
        <w:rPr>
          <w:sz w:val="22"/>
        </w:rPr>
      </w:pPr>
      <w:r>
        <w:rPr>
          <w:b/>
          <w:sz w:val="22"/>
        </w:rPr>
        <w:t>Access to local support through their institution’s library. </w:t>
      </w:r>
      <w:r>
        <w:rPr>
          <w:sz w:val="22"/>
        </w:rPr>
        <w:t>Along with robust technical support from the Texas Digital Library, users of the Texas Data Repository can rely on trained librarians at their home institution to assist with multiple phases of the research cycle, including data management planning, preparation for data publishing, and long-term data</w:t>
      </w:r>
      <w:r>
        <w:rPr>
          <w:spacing w:val="5"/>
          <w:sz w:val="22"/>
        </w:rPr>
        <w:t> </w:t>
      </w:r>
      <w:r>
        <w:rPr>
          <w:sz w:val="22"/>
        </w:rPr>
        <w:t>curation.</w:t>
      </w:r>
    </w:p>
    <w:p>
      <w:pPr>
        <w:pStyle w:val="BodyText"/>
        <w:spacing w:before="5"/>
        <w:ind w:left="0" w:firstLine="0"/>
        <w:rPr>
          <w:sz w:val="24"/>
        </w:rPr>
      </w:pPr>
    </w:p>
    <w:p>
      <w:pPr>
        <w:pStyle w:val="Heading1"/>
      </w:pPr>
      <w:r>
        <w:rPr>
          <w:color w:val="434343"/>
          <w:w w:val="110"/>
        </w:rPr>
        <w:t>What can researchers deposit?</w:t>
      </w:r>
    </w:p>
    <w:p>
      <w:pPr>
        <w:pStyle w:val="ListParagraph"/>
        <w:numPr>
          <w:ilvl w:val="0"/>
          <w:numId w:val="5"/>
        </w:numPr>
        <w:tabs>
          <w:tab w:pos="829" w:val="left" w:leader="none"/>
          <w:tab w:pos="830" w:val="left" w:leader="none"/>
        </w:tabs>
        <w:spacing w:line="271" w:lineRule="auto" w:before="197" w:after="0"/>
        <w:ind w:left="830" w:right="165" w:hanging="360"/>
        <w:jc w:val="left"/>
        <w:rPr>
          <w:sz w:val="22"/>
        </w:rPr>
      </w:pPr>
      <w:r>
        <w:rPr>
          <w:sz w:val="22"/>
        </w:rPr>
        <w:t>Researchers can deposit a wide variety of data and related electronic materials to the Texas Data Repository, including spreadsheets, sensor and instrument data, surveys, GIS data, and imagery, along with associated material such as codebooks or data dictionaries. Any individual file  uploaded to the repository must be under 2GB and datasets (comprising multiple files) should be no larger than</w:t>
      </w:r>
      <w:r>
        <w:rPr>
          <w:spacing w:val="2"/>
          <w:sz w:val="22"/>
        </w:rPr>
        <w:t> </w:t>
      </w:r>
      <w:r>
        <w:rPr>
          <w:sz w:val="22"/>
        </w:rPr>
        <w:t>10GB.</w:t>
      </w:r>
    </w:p>
    <w:p>
      <w:pPr>
        <w:pStyle w:val="ListParagraph"/>
        <w:numPr>
          <w:ilvl w:val="0"/>
          <w:numId w:val="5"/>
        </w:numPr>
        <w:tabs>
          <w:tab w:pos="830" w:val="left" w:leader="none"/>
        </w:tabs>
        <w:spacing w:line="268" w:lineRule="auto" w:before="0" w:after="0"/>
        <w:ind w:left="830" w:right="296" w:hanging="360"/>
        <w:jc w:val="both"/>
        <w:rPr>
          <w:sz w:val="22"/>
        </w:rPr>
      </w:pPr>
      <w:r>
        <w:rPr>
          <w:sz w:val="22"/>
        </w:rPr>
        <w:t>The Texas Data Repository encourages data deposit from all disciplines and can accept any type of data file, though it is advisable to provide data in non-proprietary formats in order to ensure broader use for researchers with access to different analytic</w:t>
      </w:r>
      <w:r>
        <w:rPr>
          <w:spacing w:val="30"/>
          <w:sz w:val="22"/>
        </w:rPr>
        <w:t> </w:t>
      </w:r>
      <w:r>
        <w:rPr>
          <w:sz w:val="22"/>
        </w:rPr>
        <w:t>software.</w:t>
      </w:r>
    </w:p>
    <w:p>
      <w:pPr>
        <w:spacing w:after="0" w:line="268" w:lineRule="auto"/>
        <w:jc w:val="both"/>
        <w:rPr>
          <w:sz w:val="22"/>
        </w:rPr>
        <w:sectPr>
          <w:type w:val="continuous"/>
          <w:pgSz w:w="12240" w:h="15840"/>
          <w:pgMar w:top="1440" w:bottom="280" w:left="1180" w:right="1200"/>
        </w:sectPr>
      </w:pPr>
    </w:p>
    <w:p>
      <w:pPr>
        <w:pStyle w:val="ListParagraph"/>
        <w:numPr>
          <w:ilvl w:val="0"/>
          <w:numId w:val="5"/>
        </w:numPr>
        <w:tabs>
          <w:tab w:pos="829" w:val="left" w:leader="none"/>
          <w:tab w:pos="830" w:val="left" w:leader="none"/>
        </w:tabs>
        <w:spacing w:line="268" w:lineRule="auto" w:before="70" w:after="0"/>
        <w:ind w:left="830" w:right="114" w:hanging="360"/>
        <w:jc w:val="left"/>
        <w:rPr>
          <w:sz w:val="22"/>
        </w:rPr>
      </w:pPr>
      <w:r>
        <w:rPr>
          <w:sz w:val="22"/>
        </w:rPr>
        <w:t>By default, published data is assigned a</w:t>
      </w:r>
      <w:r>
        <w:rPr>
          <w:color w:val="1154CC"/>
          <w:sz w:val="22"/>
        </w:rPr>
        <w:t> </w:t>
      </w:r>
      <w:hyperlink r:id="rId7">
        <w:r>
          <w:rPr>
            <w:color w:val="1154CC"/>
            <w:sz w:val="22"/>
            <w:u w:val="single" w:color="1154CC"/>
          </w:rPr>
          <w:t>CC0 license</w:t>
        </w:r>
      </w:hyperlink>
      <w:r>
        <w:rPr>
          <w:sz w:val="22"/>
        </w:rPr>
        <w:t>, which releases them to the public domain, so that others may freely access and build upon the work. Researchers can alter this license and create custom terms of use for their data if</w:t>
      </w:r>
      <w:r>
        <w:rPr>
          <w:spacing w:val="20"/>
          <w:sz w:val="22"/>
        </w:rPr>
        <w:t> </w:t>
      </w:r>
      <w:r>
        <w:rPr>
          <w:sz w:val="22"/>
        </w:rPr>
        <w:t>appropriate.</w:t>
      </w:r>
    </w:p>
    <w:p>
      <w:pPr>
        <w:pStyle w:val="ListParagraph"/>
        <w:numPr>
          <w:ilvl w:val="0"/>
          <w:numId w:val="5"/>
        </w:numPr>
        <w:tabs>
          <w:tab w:pos="829" w:val="left" w:leader="none"/>
          <w:tab w:pos="830" w:val="left" w:leader="none"/>
        </w:tabs>
        <w:spacing w:line="268" w:lineRule="auto" w:before="0" w:after="0"/>
        <w:ind w:left="830" w:right="487" w:hanging="360"/>
        <w:jc w:val="left"/>
        <w:rPr>
          <w:sz w:val="22"/>
        </w:rPr>
      </w:pPr>
      <w:r>
        <w:rPr>
          <w:sz w:val="22"/>
        </w:rPr>
        <w:t>The Texas Data Repository does NOT accept content that contains confidential or sensitive information, and requires that contributors remove, replace, or redact such information from datasets prior to upload. Confidential and sensitive information includes any identifiable information that would enable re-identification of human subjects (such as social security numbers; credit card numbers; medical record numbers; health plan numbers; biometric identifiers, etc. (See</w:t>
      </w:r>
      <w:r>
        <w:rPr>
          <w:color w:val="1154CC"/>
          <w:sz w:val="22"/>
        </w:rPr>
        <w:t> </w:t>
      </w:r>
      <w:hyperlink r:id="rId8">
        <w:r>
          <w:rPr>
            <w:color w:val="1154CC"/>
            <w:sz w:val="22"/>
            <w:u w:val="single" w:color="1154CC"/>
          </w:rPr>
          <w:t>http://data.tdl.org/terms-of-use/</w:t>
        </w:r>
        <w:r>
          <w:rPr>
            <w:color w:val="1154CC"/>
            <w:sz w:val="22"/>
          </w:rPr>
          <w:t> </w:t>
        </w:r>
      </w:hyperlink>
      <w:r>
        <w:rPr>
          <w:sz w:val="22"/>
        </w:rPr>
        <w:t>for more</w:t>
      </w:r>
      <w:r>
        <w:rPr>
          <w:spacing w:val="22"/>
          <w:sz w:val="22"/>
        </w:rPr>
        <w:t> </w:t>
      </w:r>
      <w:r>
        <w:rPr>
          <w:sz w:val="22"/>
        </w:rPr>
        <w:t>detail.)</w:t>
      </w:r>
    </w:p>
    <w:p>
      <w:pPr>
        <w:pStyle w:val="BodyText"/>
        <w:spacing w:before="7"/>
        <w:ind w:left="0" w:firstLine="0"/>
        <w:rPr>
          <w:sz w:val="24"/>
        </w:rPr>
      </w:pPr>
    </w:p>
    <w:p>
      <w:pPr>
        <w:pStyle w:val="Heading1"/>
      </w:pPr>
      <w:r>
        <w:rPr>
          <w:color w:val="434343"/>
          <w:w w:val="110"/>
        </w:rPr>
        <w:t>Benefits for TDL Member</w:t>
      </w:r>
      <w:r>
        <w:rPr>
          <w:color w:val="434343"/>
          <w:spacing w:val="-51"/>
          <w:w w:val="110"/>
        </w:rPr>
        <w:t> </w:t>
      </w:r>
      <w:r>
        <w:rPr>
          <w:color w:val="434343"/>
          <w:w w:val="110"/>
        </w:rPr>
        <w:t>Libraries</w:t>
      </w:r>
    </w:p>
    <w:p>
      <w:pPr>
        <w:pStyle w:val="ListParagraph"/>
        <w:numPr>
          <w:ilvl w:val="0"/>
          <w:numId w:val="5"/>
        </w:numPr>
        <w:tabs>
          <w:tab w:pos="829" w:val="left" w:leader="none"/>
          <w:tab w:pos="830" w:val="left" w:leader="none"/>
        </w:tabs>
        <w:spacing w:line="268" w:lineRule="auto" w:before="152" w:after="0"/>
        <w:ind w:left="830" w:right="212" w:hanging="360"/>
        <w:jc w:val="left"/>
        <w:rPr>
          <w:sz w:val="22"/>
        </w:rPr>
      </w:pPr>
      <w:r>
        <w:rPr>
          <w:b/>
          <w:sz w:val="22"/>
        </w:rPr>
        <w:t>Support for the Research Data Lifecycle</w:t>
      </w:r>
      <w:r>
        <w:rPr>
          <w:sz w:val="22"/>
        </w:rPr>
        <w:t>. Libraries have an opportunity to be an integral part of the Research Data Lifecycle, providing their campus with a platform that supports grant-seeking, data management planning, data curation, data sharing, and long-term</w:t>
      </w:r>
      <w:r>
        <w:rPr>
          <w:spacing w:val="7"/>
          <w:sz w:val="22"/>
        </w:rPr>
        <w:t> </w:t>
      </w:r>
      <w:r>
        <w:rPr>
          <w:sz w:val="22"/>
        </w:rPr>
        <w:t>preservation.</w:t>
      </w:r>
    </w:p>
    <w:p>
      <w:pPr>
        <w:pStyle w:val="ListParagraph"/>
        <w:numPr>
          <w:ilvl w:val="0"/>
          <w:numId w:val="5"/>
        </w:numPr>
        <w:tabs>
          <w:tab w:pos="829" w:val="left" w:leader="none"/>
          <w:tab w:pos="830" w:val="left" w:leader="none"/>
        </w:tabs>
        <w:spacing w:line="268" w:lineRule="auto" w:before="0" w:after="0"/>
        <w:ind w:left="830" w:right="279" w:hanging="360"/>
        <w:jc w:val="left"/>
        <w:rPr>
          <w:sz w:val="22"/>
        </w:rPr>
      </w:pPr>
      <w:r>
        <w:rPr>
          <w:b/>
          <w:sz w:val="22"/>
        </w:rPr>
        <w:t>Flexibility for large and small institutions. </w:t>
      </w:r>
      <w:r>
        <w:rPr>
          <w:sz w:val="22"/>
        </w:rPr>
        <w:t>The Texas Data Repository can be used effectively by institutions of many different sizes and staffing levels. It can be deployed as a “self-service” repository for researchers, with minimal service provided by the local institution. Alternately, it can be embedded within a suite of services such as data consultation and curation that the  library</w:t>
      </w:r>
      <w:r>
        <w:rPr>
          <w:spacing w:val="0"/>
          <w:sz w:val="22"/>
        </w:rPr>
        <w:t> </w:t>
      </w:r>
      <w:r>
        <w:rPr>
          <w:sz w:val="22"/>
        </w:rPr>
        <w:t>provides.</w:t>
      </w:r>
    </w:p>
    <w:p>
      <w:pPr>
        <w:pStyle w:val="ListParagraph"/>
        <w:numPr>
          <w:ilvl w:val="0"/>
          <w:numId w:val="5"/>
        </w:numPr>
        <w:tabs>
          <w:tab w:pos="829" w:val="left" w:leader="none"/>
          <w:tab w:pos="830" w:val="left" w:leader="none"/>
        </w:tabs>
        <w:spacing w:line="268" w:lineRule="auto" w:before="0" w:after="0"/>
        <w:ind w:left="830" w:right="237" w:hanging="360"/>
        <w:jc w:val="left"/>
        <w:rPr>
          <w:sz w:val="22"/>
        </w:rPr>
      </w:pPr>
      <w:r>
        <w:rPr>
          <w:b/>
          <w:sz w:val="22"/>
        </w:rPr>
        <w:t>Collaborative management and mutual support. </w:t>
      </w:r>
      <w:r>
        <w:rPr>
          <w:sz w:val="22"/>
        </w:rPr>
        <w:t>TDL member institutions will continue to work together to develop and manage the repository and provide essential training for librarians in data management, creating a truly collaborative and mutually supportive</w:t>
      </w:r>
      <w:r>
        <w:rPr>
          <w:spacing w:val="46"/>
          <w:sz w:val="22"/>
        </w:rPr>
        <w:t> </w:t>
      </w:r>
      <w:r>
        <w:rPr>
          <w:sz w:val="22"/>
        </w:rPr>
        <w:t>service.</w:t>
      </w:r>
    </w:p>
    <w:p>
      <w:pPr>
        <w:pStyle w:val="ListParagraph"/>
        <w:numPr>
          <w:ilvl w:val="0"/>
          <w:numId w:val="5"/>
        </w:numPr>
        <w:tabs>
          <w:tab w:pos="829" w:val="left" w:leader="none"/>
          <w:tab w:pos="830" w:val="left" w:leader="none"/>
        </w:tabs>
        <w:spacing w:line="268" w:lineRule="auto" w:before="0" w:after="0"/>
        <w:ind w:left="830" w:right="300" w:hanging="360"/>
        <w:jc w:val="left"/>
        <w:rPr>
          <w:sz w:val="22"/>
        </w:rPr>
      </w:pPr>
      <w:r>
        <w:rPr>
          <w:b/>
          <w:sz w:val="22"/>
        </w:rPr>
        <w:t>Showcasing institutional contributions. </w:t>
      </w:r>
      <w:r>
        <w:rPr>
          <w:sz w:val="22"/>
        </w:rPr>
        <w:t>The Texas Data Repository allows institutions to collect and</w:t>
      </w:r>
      <w:r>
        <w:rPr>
          <w:spacing w:val="7"/>
          <w:sz w:val="22"/>
        </w:rPr>
        <w:t> </w:t>
      </w:r>
      <w:r>
        <w:rPr>
          <w:sz w:val="22"/>
        </w:rPr>
        <w:t>showcase</w:t>
      </w:r>
      <w:r>
        <w:rPr>
          <w:spacing w:val="7"/>
          <w:sz w:val="22"/>
        </w:rPr>
        <w:t> </w:t>
      </w:r>
      <w:r>
        <w:rPr>
          <w:sz w:val="22"/>
        </w:rPr>
        <w:t>the</w:t>
      </w:r>
      <w:r>
        <w:rPr>
          <w:spacing w:val="7"/>
          <w:sz w:val="22"/>
        </w:rPr>
        <w:t> </w:t>
      </w:r>
      <w:r>
        <w:rPr>
          <w:sz w:val="22"/>
        </w:rPr>
        <w:t>important</w:t>
      </w:r>
      <w:r>
        <w:rPr>
          <w:spacing w:val="7"/>
          <w:sz w:val="22"/>
        </w:rPr>
        <w:t> </w:t>
      </w:r>
      <w:r>
        <w:rPr>
          <w:sz w:val="22"/>
        </w:rPr>
        <w:t>work</w:t>
      </w:r>
      <w:r>
        <w:rPr>
          <w:spacing w:val="7"/>
          <w:sz w:val="22"/>
        </w:rPr>
        <w:t> </w:t>
      </w:r>
      <w:r>
        <w:rPr>
          <w:sz w:val="22"/>
        </w:rPr>
        <w:t>done</w:t>
      </w:r>
      <w:r>
        <w:rPr>
          <w:spacing w:val="7"/>
          <w:sz w:val="22"/>
        </w:rPr>
        <w:t> </w:t>
      </w:r>
      <w:r>
        <w:rPr>
          <w:sz w:val="22"/>
        </w:rPr>
        <w:t>by</w:t>
      </w:r>
      <w:r>
        <w:rPr>
          <w:spacing w:val="7"/>
          <w:sz w:val="22"/>
        </w:rPr>
        <w:t> </w:t>
      </w:r>
      <w:r>
        <w:rPr>
          <w:sz w:val="22"/>
        </w:rPr>
        <w:t>faculty,</w:t>
      </w:r>
      <w:r>
        <w:rPr>
          <w:spacing w:val="7"/>
          <w:sz w:val="22"/>
        </w:rPr>
        <w:t> </w:t>
      </w:r>
      <w:r>
        <w:rPr>
          <w:sz w:val="22"/>
        </w:rPr>
        <w:t>students,</w:t>
      </w:r>
      <w:r>
        <w:rPr>
          <w:spacing w:val="7"/>
          <w:sz w:val="22"/>
        </w:rPr>
        <w:t> </w:t>
      </w:r>
      <w:r>
        <w:rPr>
          <w:sz w:val="22"/>
        </w:rPr>
        <w:t>and</w:t>
      </w:r>
      <w:r>
        <w:rPr>
          <w:spacing w:val="7"/>
          <w:sz w:val="22"/>
        </w:rPr>
        <w:t> </w:t>
      </w:r>
      <w:r>
        <w:rPr>
          <w:sz w:val="22"/>
        </w:rPr>
        <w:t>staff</w:t>
      </w:r>
      <w:r>
        <w:rPr>
          <w:spacing w:val="7"/>
          <w:sz w:val="22"/>
        </w:rPr>
        <w:t> </w:t>
      </w:r>
      <w:r>
        <w:rPr>
          <w:sz w:val="22"/>
        </w:rPr>
        <w:t>at</w:t>
      </w:r>
      <w:r>
        <w:rPr>
          <w:spacing w:val="7"/>
          <w:sz w:val="22"/>
        </w:rPr>
        <w:t> </w:t>
      </w:r>
      <w:r>
        <w:rPr>
          <w:sz w:val="22"/>
        </w:rPr>
        <w:t>their</w:t>
      </w:r>
      <w:r>
        <w:rPr>
          <w:spacing w:val="7"/>
          <w:sz w:val="22"/>
        </w:rPr>
        <w:t> </w:t>
      </w:r>
      <w:r>
        <w:rPr>
          <w:sz w:val="22"/>
        </w:rPr>
        <w:t>institutions.</w:t>
      </w:r>
    </w:p>
    <w:p>
      <w:pPr>
        <w:pStyle w:val="BodyText"/>
        <w:spacing w:before="4"/>
        <w:ind w:left="0" w:firstLine="0"/>
        <w:rPr>
          <w:sz w:val="24"/>
        </w:rPr>
      </w:pPr>
    </w:p>
    <w:p>
      <w:pPr>
        <w:pStyle w:val="Heading1"/>
      </w:pPr>
      <w:r>
        <w:rPr>
          <w:color w:val="434343"/>
          <w:w w:val="115"/>
        </w:rPr>
        <w:t>Responsibilities of member libraries</w:t>
      </w:r>
    </w:p>
    <w:p>
      <w:pPr>
        <w:pStyle w:val="BodyText"/>
        <w:spacing w:line="268" w:lineRule="auto" w:before="152"/>
        <w:ind w:left="110" w:firstLine="0"/>
      </w:pPr>
      <w:r>
        <w:rPr/>
        <w:t>TDL member institutions that participate in the data repository service will be expected to identify one or more people who can fulfill the following responsibilities.</w:t>
      </w:r>
    </w:p>
    <w:p>
      <w:pPr>
        <w:pStyle w:val="ListParagraph"/>
        <w:numPr>
          <w:ilvl w:val="0"/>
          <w:numId w:val="5"/>
        </w:numPr>
        <w:tabs>
          <w:tab w:pos="829" w:val="left" w:leader="none"/>
          <w:tab w:pos="830" w:val="left" w:leader="none"/>
        </w:tabs>
        <w:spacing w:line="267" w:lineRule="exact" w:before="0" w:after="0"/>
        <w:ind w:left="830" w:right="0" w:hanging="360"/>
        <w:jc w:val="left"/>
        <w:rPr>
          <w:sz w:val="22"/>
        </w:rPr>
      </w:pPr>
      <w:r>
        <w:rPr>
          <w:sz w:val="22"/>
        </w:rPr>
        <w:t>Serve</w:t>
      </w:r>
      <w:r>
        <w:rPr>
          <w:spacing w:val="7"/>
          <w:sz w:val="22"/>
        </w:rPr>
        <w:t> </w:t>
      </w:r>
      <w:r>
        <w:rPr>
          <w:sz w:val="22"/>
        </w:rPr>
        <w:t>as</w:t>
      </w:r>
      <w:r>
        <w:rPr>
          <w:spacing w:val="7"/>
          <w:sz w:val="22"/>
        </w:rPr>
        <w:t> </w:t>
      </w:r>
      <w:r>
        <w:rPr>
          <w:sz w:val="22"/>
        </w:rPr>
        <w:t>a</w:t>
      </w:r>
      <w:r>
        <w:rPr>
          <w:spacing w:val="7"/>
          <w:sz w:val="22"/>
        </w:rPr>
        <w:t> </w:t>
      </w:r>
      <w:r>
        <w:rPr>
          <w:sz w:val="22"/>
        </w:rPr>
        <w:t>contact</w:t>
      </w:r>
      <w:r>
        <w:rPr>
          <w:spacing w:val="7"/>
          <w:sz w:val="22"/>
        </w:rPr>
        <w:t> </w:t>
      </w:r>
      <w:r>
        <w:rPr>
          <w:sz w:val="22"/>
        </w:rPr>
        <w:t>for</w:t>
      </w:r>
      <w:r>
        <w:rPr>
          <w:spacing w:val="7"/>
          <w:sz w:val="22"/>
        </w:rPr>
        <w:t> </w:t>
      </w:r>
      <w:r>
        <w:rPr>
          <w:sz w:val="22"/>
        </w:rPr>
        <w:t>faculty,</w:t>
      </w:r>
      <w:r>
        <w:rPr>
          <w:spacing w:val="7"/>
          <w:sz w:val="22"/>
        </w:rPr>
        <w:t> </w:t>
      </w:r>
      <w:r>
        <w:rPr>
          <w:sz w:val="22"/>
        </w:rPr>
        <w:t>staff,</w:t>
      </w:r>
      <w:r>
        <w:rPr>
          <w:spacing w:val="7"/>
          <w:sz w:val="22"/>
        </w:rPr>
        <w:t> </w:t>
      </w:r>
      <w:r>
        <w:rPr>
          <w:sz w:val="22"/>
        </w:rPr>
        <w:t>or</w:t>
      </w:r>
      <w:r>
        <w:rPr>
          <w:spacing w:val="7"/>
          <w:sz w:val="22"/>
        </w:rPr>
        <w:t> </w:t>
      </w:r>
      <w:r>
        <w:rPr>
          <w:sz w:val="22"/>
        </w:rPr>
        <w:t>students</w:t>
      </w:r>
      <w:r>
        <w:rPr>
          <w:spacing w:val="7"/>
          <w:sz w:val="22"/>
        </w:rPr>
        <w:t> </w:t>
      </w:r>
      <w:r>
        <w:rPr>
          <w:sz w:val="22"/>
        </w:rPr>
        <w:t>at</w:t>
      </w:r>
      <w:r>
        <w:rPr>
          <w:spacing w:val="7"/>
          <w:sz w:val="22"/>
        </w:rPr>
        <w:t> </w:t>
      </w:r>
      <w:r>
        <w:rPr>
          <w:sz w:val="22"/>
        </w:rPr>
        <w:t>their</w:t>
      </w:r>
      <w:r>
        <w:rPr>
          <w:spacing w:val="7"/>
          <w:sz w:val="22"/>
        </w:rPr>
        <w:t> </w:t>
      </w:r>
      <w:r>
        <w:rPr>
          <w:sz w:val="22"/>
        </w:rPr>
        <w:t>institution</w:t>
      </w:r>
      <w:r>
        <w:rPr>
          <w:spacing w:val="7"/>
          <w:sz w:val="22"/>
        </w:rPr>
        <w:t> </w:t>
      </w:r>
      <w:r>
        <w:rPr>
          <w:sz w:val="22"/>
        </w:rPr>
        <w:t>needing</w:t>
      </w:r>
      <w:r>
        <w:rPr>
          <w:spacing w:val="7"/>
          <w:sz w:val="22"/>
        </w:rPr>
        <w:t> </w:t>
      </w:r>
      <w:r>
        <w:rPr>
          <w:sz w:val="22"/>
        </w:rPr>
        <w:t>help</w:t>
      </w:r>
      <w:r>
        <w:rPr>
          <w:spacing w:val="7"/>
          <w:sz w:val="22"/>
        </w:rPr>
        <w:t> </w:t>
      </w:r>
      <w:r>
        <w:rPr>
          <w:sz w:val="22"/>
        </w:rPr>
        <w:t>using</w:t>
      </w:r>
      <w:r>
        <w:rPr>
          <w:spacing w:val="7"/>
          <w:sz w:val="22"/>
        </w:rPr>
        <w:t> </w:t>
      </w:r>
      <w:r>
        <w:rPr>
          <w:sz w:val="22"/>
        </w:rPr>
        <w:t>the</w:t>
      </w:r>
      <w:r>
        <w:rPr>
          <w:spacing w:val="7"/>
          <w:sz w:val="22"/>
        </w:rPr>
        <w:t> </w:t>
      </w:r>
      <w:r>
        <w:rPr>
          <w:sz w:val="22"/>
        </w:rPr>
        <w:t>TDRl</w:t>
      </w:r>
    </w:p>
    <w:p>
      <w:pPr>
        <w:pStyle w:val="ListParagraph"/>
        <w:numPr>
          <w:ilvl w:val="0"/>
          <w:numId w:val="5"/>
        </w:numPr>
        <w:tabs>
          <w:tab w:pos="829" w:val="left" w:leader="none"/>
          <w:tab w:pos="830" w:val="left" w:leader="none"/>
        </w:tabs>
        <w:spacing w:line="268" w:lineRule="auto" w:before="31" w:after="0"/>
        <w:ind w:left="830" w:right="245" w:hanging="360"/>
        <w:jc w:val="left"/>
        <w:rPr>
          <w:sz w:val="22"/>
        </w:rPr>
      </w:pPr>
      <w:r>
        <w:rPr>
          <w:sz w:val="22"/>
        </w:rPr>
        <w:t>Maintain an institutional landing page within the data repository that showcases data deposited by faculty, staff, and students at their</w:t>
      </w:r>
      <w:r>
        <w:rPr>
          <w:spacing w:val="12"/>
          <w:sz w:val="22"/>
        </w:rPr>
        <w:t> </w:t>
      </w:r>
      <w:r>
        <w:rPr>
          <w:sz w:val="22"/>
        </w:rPr>
        <w:t>institution.</w:t>
      </w:r>
    </w:p>
    <w:p>
      <w:pPr>
        <w:pStyle w:val="ListParagraph"/>
        <w:numPr>
          <w:ilvl w:val="0"/>
          <w:numId w:val="5"/>
        </w:numPr>
        <w:tabs>
          <w:tab w:pos="829" w:val="left" w:leader="none"/>
          <w:tab w:pos="830" w:val="left" w:leader="none"/>
        </w:tabs>
        <w:spacing w:line="268" w:lineRule="auto" w:before="0" w:after="0"/>
        <w:ind w:left="830" w:right="334" w:hanging="360"/>
        <w:jc w:val="left"/>
        <w:rPr>
          <w:sz w:val="22"/>
        </w:rPr>
      </w:pPr>
      <w:r>
        <w:rPr>
          <w:sz w:val="22"/>
        </w:rPr>
        <w:t>Serve on a standing TDL committee of data repository liaisons that will provide oversight and consultation to TDL’s management of the repository, and that will serve as a central avenue for communication and promotion of repository-related news and</w:t>
      </w:r>
      <w:r>
        <w:rPr>
          <w:spacing w:val="25"/>
          <w:sz w:val="22"/>
        </w:rPr>
        <w:t> </w:t>
      </w:r>
      <w:r>
        <w:rPr>
          <w:sz w:val="22"/>
        </w:rPr>
        <w:t>changes.</w:t>
      </w:r>
    </w:p>
    <w:p>
      <w:pPr>
        <w:pStyle w:val="ListParagraph"/>
        <w:numPr>
          <w:ilvl w:val="0"/>
          <w:numId w:val="5"/>
        </w:numPr>
        <w:tabs>
          <w:tab w:pos="829" w:val="left" w:leader="none"/>
          <w:tab w:pos="830" w:val="left" w:leader="none"/>
        </w:tabs>
        <w:spacing w:line="268" w:lineRule="auto" w:before="0" w:after="0"/>
        <w:ind w:left="830" w:right="376" w:hanging="360"/>
        <w:jc w:val="left"/>
        <w:rPr>
          <w:sz w:val="22"/>
        </w:rPr>
      </w:pPr>
      <w:r>
        <w:rPr>
          <w:sz w:val="22"/>
        </w:rPr>
        <w:t>Act as a liaison to other units in the institution (e.g. contracts office or IT department) required for setup and maintenance of the</w:t>
      </w:r>
      <w:r>
        <w:rPr>
          <w:spacing w:val="10"/>
          <w:sz w:val="22"/>
        </w:rPr>
        <w:t> </w:t>
      </w:r>
      <w:r>
        <w:rPr>
          <w:sz w:val="22"/>
        </w:rPr>
        <w:t>repository.</w:t>
      </w:r>
    </w:p>
    <w:p>
      <w:pPr>
        <w:pStyle w:val="BodyText"/>
        <w:spacing w:before="8"/>
        <w:ind w:left="0" w:firstLine="0"/>
        <w:rPr>
          <w:sz w:val="24"/>
        </w:rPr>
      </w:pPr>
    </w:p>
    <w:p>
      <w:pPr>
        <w:pStyle w:val="Heading1"/>
        <w:spacing w:before="1"/>
      </w:pPr>
      <w:r>
        <w:rPr>
          <w:color w:val="434343"/>
          <w:w w:val="110"/>
        </w:rPr>
        <w:t>More information</w:t>
      </w:r>
    </w:p>
    <w:p>
      <w:pPr>
        <w:pStyle w:val="ListParagraph"/>
        <w:numPr>
          <w:ilvl w:val="0"/>
          <w:numId w:val="5"/>
        </w:numPr>
        <w:tabs>
          <w:tab w:pos="829" w:val="left" w:leader="none"/>
          <w:tab w:pos="830" w:val="left" w:leader="none"/>
        </w:tabs>
        <w:spacing w:line="268" w:lineRule="auto" w:before="151" w:after="0"/>
        <w:ind w:left="830" w:right="938" w:hanging="360"/>
        <w:jc w:val="left"/>
        <w:rPr>
          <w:sz w:val="22"/>
        </w:rPr>
      </w:pPr>
      <w:r>
        <w:rPr>
          <w:sz w:val="22"/>
        </w:rPr>
        <w:t>User Guides, policy information, and other documentation is available on the Texas Data Repository website at</w:t>
      </w:r>
      <w:r>
        <w:rPr>
          <w:color w:val="1154CC"/>
          <w:spacing w:val="5"/>
          <w:sz w:val="22"/>
        </w:rPr>
        <w:t> </w:t>
      </w:r>
      <w:hyperlink r:id="rId9">
        <w:r>
          <w:rPr>
            <w:color w:val="1154CC"/>
            <w:sz w:val="22"/>
            <w:u w:val="single" w:color="1154CC"/>
          </w:rPr>
          <w:t>http://data.tdl.org/</w:t>
        </w:r>
      </w:hyperlink>
    </w:p>
    <w:p>
      <w:pPr>
        <w:pStyle w:val="ListParagraph"/>
        <w:numPr>
          <w:ilvl w:val="0"/>
          <w:numId w:val="5"/>
        </w:numPr>
        <w:tabs>
          <w:tab w:pos="829" w:val="left" w:leader="none"/>
          <w:tab w:pos="830" w:val="left" w:leader="none"/>
        </w:tabs>
        <w:spacing w:line="268" w:lineRule="auto" w:before="0" w:after="0"/>
        <w:ind w:left="830" w:right="1642" w:hanging="360"/>
        <w:jc w:val="left"/>
        <w:rPr>
          <w:sz w:val="22"/>
        </w:rPr>
      </w:pPr>
      <w:r>
        <w:rPr>
          <w:sz w:val="22"/>
        </w:rPr>
        <w:t>Contact the TDL Helpdesk with questions about the Texas Data Repository. Email</w:t>
      </w:r>
      <w:r>
        <w:rPr>
          <w:color w:val="1154CC"/>
          <w:sz w:val="22"/>
          <w:u w:val="single" w:color="1154CC"/>
        </w:rPr>
        <w:t> </w:t>
      </w:r>
      <w:hyperlink r:id="rId10">
        <w:r>
          <w:rPr>
            <w:color w:val="1154CC"/>
            <w:sz w:val="22"/>
            <w:u w:val="single" w:color="1154CC"/>
          </w:rPr>
          <w:t>support@tdl.org</w:t>
        </w:r>
        <w:r>
          <w:rPr>
            <w:color w:val="1154CC"/>
            <w:sz w:val="22"/>
          </w:rPr>
          <w:t> </w:t>
        </w:r>
      </w:hyperlink>
      <w:r>
        <w:rPr>
          <w:sz w:val="22"/>
        </w:rPr>
        <w:t>or go to</w:t>
      </w:r>
      <w:hyperlink r:id="rId11">
        <w:r>
          <w:rPr>
            <w:color w:val="1154CC"/>
            <w:spacing w:val="15"/>
            <w:sz w:val="22"/>
          </w:rPr>
          <w:t> </w:t>
        </w:r>
        <w:r>
          <w:rPr>
            <w:color w:val="1154CC"/>
            <w:sz w:val="22"/>
            <w:u w:val="single" w:color="1154CC"/>
          </w:rPr>
          <w:t>https://tdl.org/support/helpdesk/</w:t>
        </w:r>
      </w:hyperlink>
      <w:r>
        <w:rPr>
          <w:sz w:val="22"/>
        </w:rPr>
        <w:t>.</w:t>
      </w:r>
    </w:p>
    <w:sectPr>
      <w:pgSz w:w="12240" w:h="15840"/>
      <w:pgMar w:top="1160" w:bottom="280" w:left="11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Narrow">
    <w:altName w:val="Arial Narrow"/>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830" w:hanging="360"/>
      </w:pPr>
      <w:rPr>
        <w:rFonts w:hint="default" w:ascii="Arial" w:hAnsi="Arial" w:eastAsia="Arial" w:cs="Arial"/>
        <w:w w:val="100"/>
        <w:sz w:val="22"/>
        <w:szCs w:val="22"/>
      </w:rPr>
    </w:lvl>
    <w:lvl w:ilvl="1">
      <w:start w:val="0"/>
      <w:numFmt w:val="bullet"/>
      <w:lvlText w:val="•"/>
      <w:lvlJc w:val="left"/>
      <w:pPr>
        <w:ind w:left="1742" w:hanging="360"/>
      </w:pPr>
      <w:rPr>
        <w:rFonts w:hint="default"/>
      </w:rPr>
    </w:lvl>
    <w:lvl w:ilvl="2">
      <w:start w:val="0"/>
      <w:numFmt w:val="bullet"/>
      <w:lvlText w:val="•"/>
      <w:lvlJc w:val="left"/>
      <w:pPr>
        <w:ind w:left="2644" w:hanging="360"/>
      </w:pPr>
      <w:rPr>
        <w:rFonts w:hint="default"/>
      </w:rPr>
    </w:lvl>
    <w:lvl w:ilvl="3">
      <w:start w:val="0"/>
      <w:numFmt w:val="bullet"/>
      <w:lvlText w:val="•"/>
      <w:lvlJc w:val="left"/>
      <w:pPr>
        <w:ind w:left="3546" w:hanging="360"/>
      </w:pPr>
      <w:rPr>
        <w:rFonts w:hint="default"/>
      </w:rPr>
    </w:lvl>
    <w:lvl w:ilvl="4">
      <w:start w:val="0"/>
      <w:numFmt w:val="bullet"/>
      <w:lvlText w:val="•"/>
      <w:lvlJc w:val="left"/>
      <w:pPr>
        <w:ind w:left="4448" w:hanging="360"/>
      </w:pPr>
      <w:rPr>
        <w:rFonts w:hint="default"/>
      </w:rPr>
    </w:lvl>
    <w:lvl w:ilvl="5">
      <w:start w:val="0"/>
      <w:numFmt w:val="bullet"/>
      <w:lvlText w:val="•"/>
      <w:lvlJc w:val="left"/>
      <w:pPr>
        <w:ind w:left="5350" w:hanging="360"/>
      </w:pPr>
      <w:rPr>
        <w:rFonts w:hint="default"/>
      </w:rPr>
    </w:lvl>
    <w:lvl w:ilvl="6">
      <w:start w:val="0"/>
      <w:numFmt w:val="bullet"/>
      <w:lvlText w:val="•"/>
      <w:lvlJc w:val="left"/>
      <w:pPr>
        <w:ind w:left="6252" w:hanging="360"/>
      </w:pPr>
      <w:rPr>
        <w:rFonts w:hint="default"/>
      </w:rPr>
    </w:lvl>
    <w:lvl w:ilvl="7">
      <w:start w:val="0"/>
      <w:numFmt w:val="bullet"/>
      <w:lvlText w:val="•"/>
      <w:lvlJc w:val="left"/>
      <w:pPr>
        <w:ind w:left="7154" w:hanging="360"/>
      </w:pPr>
      <w:rPr>
        <w:rFonts w:hint="default"/>
      </w:rPr>
    </w:lvl>
    <w:lvl w:ilvl="8">
      <w:start w:val="0"/>
      <w:numFmt w:val="bullet"/>
      <w:lvlText w:val="•"/>
      <w:lvlJc w:val="left"/>
      <w:pPr>
        <w:ind w:left="8056" w:hanging="360"/>
      </w:pPr>
      <w:rPr>
        <w:rFonts w:hint="default"/>
      </w:rPr>
    </w:lvl>
  </w:abstractNum>
  <w:abstractNum w:abstractNumId="3">
    <w:multiLevelType w:val="hybridMultilevel"/>
    <w:lvl w:ilvl="0">
      <w:start w:val="0"/>
      <w:numFmt w:val="bullet"/>
      <w:lvlText w:val="●"/>
      <w:lvlJc w:val="left"/>
      <w:pPr>
        <w:ind w:left="830" w:hanging="360"/>
      </w:pPr>
      <w:rPr>
        <w:rFonts w:hint="default" w:ascii="Arial" w:hAnsi="Arial" w:eastAsia="Arial" w:cs="Arial"/>
        <w:b/>
        <w:bCs/>
        <w:w w:val="100"/>
        <w:sz w:val="22"/>
        <w:szCs w:val="22"/>
      </w:rPr>
    </w:lvl>
    <w:lvl w:ilvl="1">
      <w:start w:val="0"/>
      <w:numFmt w:val="bullet"/>
      <w:lvlText w:val="•"/>
      <w:lvlJc w:val="left"/>
      <w:pPr>
        <w:ind w:left="1742" w:hanging="360"/>
      </w:pPr>
      <w:rPr>
        <w:rFonts w:hint="default"/>
      </w:rPr>
    </w:lvl>
    <w:lvl w:ilvl="2">
      <w:start w:val="0"/>
      <w:numFmt w:val="bullet"/>
      <w:lvlText w:val="•"/>
      <w:lvlJc w:val="left"/>
      <w:pPr>
        <w:ind w:left="2644" w:hanging="360"/>
      </w:pPr>
      <w:rPr>
        <w:rFonts w:hint="default"/>
      </w:rPr>
    </w:lvl>
    <w:lvl w:ilvl="3">
      <w:start w:val="0"/>
      <w:numFmt w:val="bullet"/>
      <w:lvlText w:val="•"/>
      <w:lvlJc w:val="left"/>
      <w:pPr>
        <w:ind w:left="3546" w:hanging="360"/>
      </w:pPr>
      <w:rPr>
        <w:rFonts w:hint="default"/>
      </w:rPr>
    </w:lvl>
    <w:lvl w:ilvl="4">
      <w:start w:val="0"/>
      <w:numFmt w:val="bullet"/>
      <w:lvlText w:val="•"/>
      <w:lvlJc w:val="left"/>
      <w:pPr>
        <w:ind w:left="4448" w:hanging="360"/>
      </w:pPr>
      <w:rPr>
        <w:rFonts w:hint="default"/>
      </w:rPr>
    </w:lvl>
    <w:lvl w:ilvl="5">
      <w:start w:val="0"/>
      <w:numFmt w:val="bullet"/>
      <w:lvlText w:val="•"/>
      <w:lvlJc w:val="left"/>
      <w:pPr>
        <w:ind w:left="5350" w:hanging="360"/>
      </w:pPr>
      <w:rPr>
        <w:rFonts w:hint="default"/>
      </w:rPr>
    </w:lvl>
    <w:lvl w:ilvl="6">
      <w:start w:val="0"/>
      <w:numFmt w:val="bullet"/>
      <w:lvlText w:val="•"/>
      <w:lvlJc w:val="left"/>
      <w:pPr>
        <w:ind w:left="6252" w:hanging="360"/>
      </w:pPr>
      <w:rPr>
        <w:rFonts w:hint="default"/>
      </w:rPr>
    </w:lvl>
    <w:lvl w:ilvl="7">
      <w:start w:val="0"/>
      <w:numFmt w:val="bullet"/>
      <w:lvlText w:val="•"/>
      <w:lvlJc w:val="left"/>
      <w:pPr>
        <w:ind w:left="7154" w:hanging="360"/>
      </w:pPr>
      <w:rPr>
        <w:rFonts w:hint="default"/>
      </w:rPr>
    </w:lvl>
    <w:lvl w:ilvl="8">
      <w:start w:val="0"/>
      <w:numFmt w:val="bullet"/>
      <w:lvlText w:val="•"/>
      <w:lvlJc w:val="left"/>
      <w:pPr>
        <w:ind w:left="8056" w:hanging="360"/>
      </w:pPr>
      <w:rPr>
        <w:rFonts w:hint="default"/>
      </w:rPr>
    </w:lvl>
  </w:abstractNum>
  <w:abstractNum w:abstractNumId="2">
    <w:multiLevelType w:val="hybridMultilevel"/>
    <w:lvl w:ilvl="0">
      <w:start w:val="0"/>
      <w:numFmt w:val="bullet"/>
      <w:lvlText w:val="●"/>
      <w:lvlJc w:val="left"/>
      <w:pPr>
        <w:ind w:left="830" w:hanging="360"/>
      </w:pPr>
      <w:rPr>
        <w:rFonts w:hint="default" w:ascii="Arial" w:hAnsi="Arial" w:eastAsia="Arial" w:cs="Arial"/>
        <w:w w:val="100"/>
        <w:sz w:val="22"/>
        <w:szCs w:val="22"/>
      </w:rPr>
    </w:lvl>
    <w:lvl w:ilvl="1">
      <w:start w:val="0"/>
      <w:numFmt w:val="bullet"/>
      <w:lvlText w:val="•"/>
      <w:lvlJc w:val="left"/>
      <w:pPr>
        <w:ind w:left="1742" w:hanging="360"/>
      </w:pPr>
      <w:rPr>
        <w:rFonts w:hint="default"/>
      </w:rPr>
    </w:lvl>
    <w:lvl w:ilvl="2">
      <w:start w:val="0"/>
      <w:numFmt w:val="bullet"/>
      <w:lvlText w:val="•"/>
      <w:lvlJc w:val="left"/>
      <w:pPr>
        <w:ind w:left="2644" w:hanging="360"/>
      </w:pPr>
      <w:rPr>
        <w:rFonts w:hint="default"/>
      </w:rPr>
    </w:lvl>
    <w:lvl w:ilvl="3">
      <w:start w:val="0"/>
      <w:numFmt w:val="bullet"/>
      <w:lvlText w:val="•"/>
      <w:lvlJc w:val="left"/>
      <w:pPr>
        <w:ind w:left="3546" w:hanging="360"/>
      </w:pPr>
      <w:rPr>
        <w:rFonts w:hint="default"/>
      </w:rPr>
    </w:lvl>
    <w:lvl w:ilvl="4">
      <w:start w:val="0"/>
      <w:numFmt w:val="bullet"/>
      <w:lvlText w:val="•"/>
      <w:lvlJc w:val="left"/>
      <w:pPr>
        <w:ind w:left="4448" w:hanging="360"/>
      </w:pPr>
      <w:rPr>
        <w:rFonts w:hint="default"/>
      </w:rPr>
    </w:lvl>
    <w:lvl w:ilvl="5">
      <w:start w:val="0"/>
      <w:numFmt w:val="bullet"/>
      <w:lvlText w:val="•"/>
      <w:lvlJc w:val="left"/>
      <w:pPr>
        <w:ind w:left="5350" w:hanging="360"/>
      </w:pPr>
      <w:rPr>
        <w:rFonts w:hint="default"/>
      </w:rPr>
    </w:lvl>
    <w:lvl w:ilvl="6">
      <w:start w:val="0"/>
      <w:numFmt w:val="bullet"/>
      <w:lvlText w:val="•"/>
      <w:lvlJc w:val="left"/>
      <w:pPr>
        <w:ind w:left="6252" w:hanging="360"/>
      </w:pPr>
      <w:rPr>
        <w:rFonts w:hint="default"/>
      </w:rPr>
    </w:lvl>
    <w:lvl w:ilvl="7">
      <w:start w:val="0"/>
      <w:numFmt w:val="bullet"/>
      <w:lvlText w:val="•"/>
      <w:lvlJc w:val="left"/>
      <w:pPr>
        <w:ind w:left="7154" w:hanging="360"/>
      </w:pPr>
      <w:rPr>
        <w:rFonts w:hint="default"/>
      </w:rPr>
    </w:lvl>
    <w:lvl w:ilvl="8">
      <w:start w:val="0"/>
      <w:numFmt w:val="bullet"/>
      <w:lvlText w:val="•"/>
      <w:lvlJc w:val="left"/>
      <w:pPr>
        <w:ind w:left="8056" w:hanging="360"/>
      </w:pPr>
      <w:rPr>
        <w:rFonts w:hint="default"/>
      </w:rPr>
    </w:lvl>
  </w:abstractNum>
  <w:abstractNum w:abstractNumId="1">
    <w:multiLevelType w:val="hybridMultilevel"/>
    <w:lvl w:ilvl="0">
      <w:start w:val="0"/>
      <w:numFmt w:val="bullet"/>
      <w:lvlText w:val="●"/>
      <w:lvlJc w:val="left"/>
      <w:pPr>
        <w:ind w:left="830" w:hanging="360"/>
      </w:pPr>
      <w:rPr>
        <w:rFonts w:hint="default" w:ascii="Arial" w:hAnsi="Arial" w:eastAsia="Arial" w:cs="Arial"/>
        <w:b/>
        <w:bCs/>
        <w:w w:val="100"/>
        <w:sz w:val="22"/>
        <w:szCs w:val="22"/>
      </w:rPr>
    </w:lvl>
    <w:lvl w:ilvl="1">
      <w:start w:val="0"/>
      <w:numFmt w:val="bullet"/>
      <w:lvlText w:val="•"/>
      <w:lvlJc w:val="left"/>
      <w:pPr>
        <w:ind w:left="1742" w:hanging="360"/>
      </w:pPr>
      <w:rPr>
        <w:rFonts w:hint="default"/>
      </w:rPr>
    </w:lvl>
    <w:lvl w:ilvl="2">
      <w:start w:val="0"/>
      <w:numFmt w:val="bullet"/>
      <w:lvlText w:val="•"/>
      <w:lvlJc w:val="left"/>
      <w:pPr>
        <w:ind w:left="2644" w:hanging="360"/>
      </w:pPr>
      <w:rPr>
        <w:rFonts w:hint="default"/>
      </w:rPr>
    </w:lvl>
    <w:lvl w:ilvl="3">
      <w:start w:val="0"/>
      <w:numFmt w:val="bullet"/>
      <w:lvlText w:val="•"/>
      <w:lvlJc w:val="left"/>
      <w:pPr>
        <w:ind w:left="3546" w:hanging="360"/>
      </w:pPr>
      <w:rPr>
        <w:rFonts w:hint="default"/>
      </w:rPr>
    </w:lvl>
    <w:lvl w:ilvl="4">
      <w:start w:val="0"/>
      <w:numFmt w:val="bullet"/>
      <w:lvlText w:val="•"/>
      <w:lvlJc w:val="left"/>
      <w:pPr>
        <w:ind w:left="4448" w:hanging="360"/>
      </w:pPr>
      <w:rPr>
        <w:rFonts w:hint="default"/>
      </w:rPr>
    </w:lvl>
    <w:lvl w:ilvl="5">
      <w:start w:val="0"/>
      <w:numFmt w:val="bullet"/>
      <w:lvlText w:val="•"/>
      <w:lvlJc w:val="left"/>
      <w:pPr>
        <w:ind w:left="5350" w:hanging="360"/>
      </w:pPr>
      <w:rPr>
        <w:rFonts w:hint="default"/>
      </w:rPr>
    </w:lvl>
    <w:lvl w:ilvl="6">
      <w:start w:val="0"/>
      <w:numFmt w:val="bullet"/>
      <w:lvlText w:val="•"/>
      <w:lvlJc w:val="left"/>
      <w:pPr>
        <w:ind w:left="6252" w:hanging="360"/>
      </w:pPr>
      <w:rPr>
        <w:rFonts w:hint="default"/>
      </w:rPr>
    </w:lvl>
    <w:lvl w:ilvl="7">
      <w:start w:val="0"/>
      <w:numFmt w:val="bullet"/>
      <w:lvlText w:val="•"/>
      <w:lvlJc w:val="left"/>
      <w:pPr>
        <w:ind w:left="7154" w:hanging="360"/>
      </w:pPr>
      <w:rPr>
        <w:rFonts w:hint="default"/>
      </w:rPr>
    </w:lvl>
    <w:lvl w:ilvl="8">
      <w:start w:val="0"/>
      <w:numFmt w:val="bullet"/>
      <w:lvlText w:val="•"/>
      <w:lvlJc w:val="left"/>
      <w:pPr>
        <w:ind w:left="8056" w:hanging="360"/>
      </w:pPr>
      <w:rPr>
        <w:rFonts w:hint="default"/>
      </w:rPr>
    </w:lvl>
  </w:abstractNum>
  <w:abstractNum w:abstractNumId="0">
    <w:multiLevelType w:val="hybridMultilevel"/>
    <w:lvl w:ilvl="0">
      <w:start w:val="0"/>
      <w:numFmt w:val="bullet"/>
      <w:lvlText w:val="●"/>
      <w:lvlJc w:val="left"/>
      <w:pPr>
        <w:ind w:left="830" w:hanging="360"/>
      </w:pPr>
      <w:rPr>
        <w:rFonts w:hint="default" w:ascii="Arial" w:hAnsi="Arial" w:eastAsia="Arial" w:cs="Arial"/>
        <w:spacing w:val="-18"/>
        <w:w w:val="100"/>
        <w:sz w:val="22"/>
        <w:szCs w:val="22"/>
      </w:rPr>
    </w:lvl>
    <w:lvl w:ilvl="1">
      <w:start w:val="0"/>
      <w:numFmt w:val="bullet"/>
      <w:lvlText w:val="•"/>
      <w:lvlJc w:val="left"/>
      <w:pPr>
        <w:ind w:left="1742" w:hanging="360"/>
      </w:pPr>
      <w:rPr>
        <w:rFonts w:hint="default"/>
      </w:rPr>
    </w:lvl>
    <w:lvl w:ilvl="2">
      <w:start w:val="0"/>
      <w:numFmt w:val="bullet"/>
      <w:lvlText w:val="•"/>
      <w:lvlJc w:val="left"/>
      <w:pPr>
        <w:ind w:left="2644" w:hanging="360"/>
      </w:pPr>
      <w:rPr>
        <w:rFonts w:hint="default"/>
      </w:rPr>
    </w:lvl>
    <w:lvl w:ilvl="3">
      <w:start w:val="0"/>
      <w:numFmt w:val="bullet"/>
      <w:lvlText w:val="•"/>
      <w:lvlJc w:val="left"/>
      <w:pPr>
        <w:ind w:left="3546" w:hanging="360"/>
      </w:pPr>
      <w:rPr>
        <w:rFonts w:hint="default"/>
      </w:rPr>
    </w:lvl>
    <w:lvl w:ilvl="4">
      <w:start w:val="0"/>
      <w:numFmt w:val="bullet"/>
      <w:lvlText w:val="•"/>
      <w:lvlJc w:val="left"/>
      <w:pPr>
        <w:ind w:left="4448" w:hanging="360"/>
      </w:pPr>
      <w:rPr>
        <w:rFonts w:hint="default"/>
      </w:rPr>
    </w:lvl>
    <w:lvl w:ilvl="5">
      <w:start w:val="0"/>
      <w:numFmt w:val="bullet"/>
      <w:lvlText w:val="•"/>
      <w:lvlJc w:val="left"/>
      <w:pPr>
        <w:ind w:left="5350" w:hanging="360"/>
      </w:pPr>
      <w:rPr>
        <w:rFonts w:hint="default"/>
      </w:rPr>
    </w:lvl>
    <w:lvl w:ilvl="6">
      <w:start w:val="0"/>
      <w:numFmt w:val="bullet"/>
      <w:lvlText w:val="•"/>
      <w:lvlJc w:val="left"/>
      <w:pPr>
        <w:ind w:left="6252" w:hanging="360"/>
      </w:pPr>
      <w:rPr>
        <w:rFonts w:hint="default"/>
      </w:rPr>
    </w:lvl>
    <w:lvl w:ilvl="7">
      <w:start w:val="0"/>
      <w:numFmt w:val="bullet"/>
      <w:lvlText w:val="•"/>
      <w:lvlJc w:val="left"/>
      <w:pPr>
        <w:ind w:left="7154" w:hanging="360"/>
      </w:pPr>
      <w:rPr>
        <w:rFonts w:hint="default"/>
      </w:rPr>
    </w:lvl>
    <w:lvl w:ilvl="8">
      <w:start w:val="0"/>
      <w:numFmt w:val="bullet"/>
      <w:lvlText w:val="•"/>
      <w:lvlJc w:val="left"/>
      <w:pPr>
        <w:ind w:left="8056" w:hanging="36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830" w:hanging="360"/>
    </w:pPr>
    <w:rPr>
      <w:rFonts w:ascii="Calibri" w:hAnsi="Calibri" w:eastAsia="Calibri" w:cs="Calibri"/>
      <w:sz w:val="22"/>
      <w:szCs w:val="22"/>
    </w:rPr>
  </w:style>
  <w:style w:styleId="Heading1" w:type="paragraph">
    <w:name w:val="Heading 1"/>
    <w:basedOn w:val="Normal"/>
    <w:uiPriority w:val="1"/>
    <w:qFormat/>
    <w:pPr>
      <w:ind w:left="110"/>
      <w:outlineLvl w:val="1"/>
    </w:pPr>
    <w:rPr>
      <w:rFonts w:ascii="Arial Narrow" w:hAnsi="Arial Narrow" w:eastAsia="Arial Narrow" w:cs="Arial Narrow"/>
      <w:sz w:val="28"/>
      <w:szCs w:val="28"/>
    </w:rPr>
  </w:style>
  <w:style w:styleId="ListParagraph" w:type="paragraph">
    <w:name w:val="List Paragraph"/>
    <w:basedOn w:val="Normal"/>
    <w:uiPriority w:val="1"/>
    <w:qFormat/>
    <w:pPr>
      <w:ind w:left="830"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dataverse.org/" TargetMode="External"/><Relationship Id="rId6" Type="http://schemas.openxmlformats.org/officeDocument/2006/relationships/hyperlink" Target="http://www.tdl.org/" TargetMode="External"/><Relationship Id="rId7" Type="http://schemas.openxmlformats.org/officeDocument/2006/relationships/hyperlink" Target="https://creativecommons.org/share-your-work/public-domain/cc0/" TargetMode="External"/><Relationship Id="rId8" Type="http://schemas.openxmlformats.org/officeDocument/2006/relationships/hyperlink" Target="http://data.tdl.org/terms-of-use/" TargetMode="External"/><Relationship Id="rId9" Type="http://schemas.openxmlformats.org/officeDocument/2006/relationships/hyperlink" Target="http://data.tdl.org/" TargetMode="External"/><Relationship Id="rId10" Type="http://schemas.openxmlformats.org/officeDocument/2006/relationships/hyperlink" Target="mailto:support@tdl.org" TargetMode="External"/><Relationship Id="rId11" Type="http://schemas.openxmlformats.org/officeDocument/2006/relationships/hyperlink" Target="https://tdl.org/support/helpdesk/"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2018-08-21T14:43:57Z</dcterms:created>
  <dcterms:modified xsi:type="dcterms:W3CDTF">2018-08-21T14:43:57Z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LastSaved">
    <vt:filetime>2018-08-21T00:00:00Z</vt:filetime>
  </property>
</Properties>
</file>