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Review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priorities </w:t>
        </w:r>
      </w:hyperlink>
      <w:r w:rsidDel="00000000" w:rsidR="00000000" w:rsidRPr="00000000">
        <w:rPr>
          <w:rtl w:val="0"/>
        </w:rPr>
        <w:t xml:space="preserve">set at TCDL - are these the items we want to send to the SC?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Make our closure plan for this working group, and hand-off to SC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TASK: Dianna to draft this as a document, and group to refine together before next SC meeting.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have been our goals?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have we accomplished?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left to do before we close?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will greater SC (and/or working groups in it) take over?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Add to SC agenda: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 Walk-through of confluence - SC needs to make a plan to shutter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 of above priority exercise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Items from the Roadmap: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veksrkteyzge" w:id="0"/>
      <w:bookmarkEnd w:id="0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Training researchers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Develop training curriculum (data sharing generally and dataverse-specific)*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Share resources/slides/experiences*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Completed, but needs to be discussed in SC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research guide for reuse by TDR institutional members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Place where we link to the member ones in the same way as we have resources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Just another heading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TASK: Need to get these links from all our members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discipline-specific guidance and templates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Originally talking about guidance on serving the broader disciplines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Has this dropped off as a priority?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Recommend that the DMP training we’re doing will replace this, since they have tools that are specific to funders.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Ed and Jessica worked on DMP tool guidance document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l1szyba9fn1h" w:id="1"/>
      <w:bookmarkEnd w:id="1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Training librarians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Dataverse training to develop expertise*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Good data sharing practices and issues that may arise, e.g. rights issues, privacy and restricted data, proper citation.*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Develop training curriculum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Workshops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Does the resource section count for this?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Webinar series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before="160" w:lineRule="auto"/>
        <w:ind w:left="216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Include a train-the-trainer type session as part of the webinar series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spacing w:before="160" w:lineRule="auto"/>
        <w:ind w:left="288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Ex: Letting STEM or other librarians actualy deposit into the training dataverse (talk to TDL first)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Videos*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before="160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Open forum for discussion and questions TBD e.g. Slack, Google groups.*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contextualSpacing w:val="0"/>
        <w:rPr>
          <w:rFonts w:ascii="Roboto" w:cs="Roboto" w:eastAsia="Roboto" w:hAnsi="Roboto"/>
          <w:color w:val="333333"/>
          <w:sz w:val="30"/>
          <w:szCs w:val="30"/>
        </w:rPr>
      </w:pPr>
      <w:bookmarkStart w:colFirst="0" w:colLast="0" w:name="_x5ax8zuzyj92" w:id="2"/>
      <w:bookmarkEnd w:id="2"/>
      <w:r w:rsidDel="00000000" w:rsidR="00000000" w:rsidRPr="00000000">
        <w:rPr>
          <w:rFonts w:ascii="Roboto" w:cs="Roboto" w:eastAsia="Roboto" w:hAnsi="Roboto"/>
          <w:color w:val="333333"/>
          <w:sz w:val="30"/>
          <w:szCs w:val="30"/>
          <w:rtl w:val="0"/>
        </w:rPr>
        <w:t xml:space="preserve">Compile tools and marketing materials for users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Collect links to member's existing resources*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Put resources in an open and accessible location*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Create mechanism for member feedback and submission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?? We’re not entirely sure what this means anymore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Perhaps the Steering Committee mailing list counts for this.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Compile plans for early-adopter thank you/welcome messages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A “Welcome to TDR, thank you for your deposit” type gift/message?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Put together a list of ideas for outreach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Strategies for intra-campus partnerships (e.g. with grant networks, sponsored projects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pacing w:before="160" w:lineRule="auto"/>
        <w:ind w:left="1440" w:hanging="360"/>
        <w:contextualSpacing w:val="1"/>
        <w:rPr>
          <w:rFonts w:ascii="Roboto" w:cs="Roboto" w:eastAsia="Roboto" w:hAnsi="Roboto"/>
          <w:color w:val="0000ff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0000ff"/>
          <w:sz w:val="21"/>
          <w:szCs w:val="21"/>
          <w:rtl w:val="0"/>
        </w:rPr>
        <w:t xml:space="preserve">Webinar idea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before="16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Connect funder requirements with the TDR service. Create language regarding the TDR services to use in data management plans (and for DMPTool templates)*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Our phase-out plan: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For Needs Assessment: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working group from the greater Steering Committee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Webinar Series: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Something for the greater group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IjGdQOZYenbXENBM8sZ7hOfKap3RGsmWm9Z31NrXb8g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